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E8" w:rsidRDefault="00CF35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1"/>
        <w:tblW w:w="84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4"/>
        <w:gridCol w:w="5664"/>
      </w:tblGrid>
      <w:tr w:rsidR="00CF35E8">
        <w:trPr>
          <w:trHeight w:val="491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E8" w:rsidRDefault="006E4AF1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ASSUNTOS: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E8" w:rsidRDefault="00874CCE" w:rsidP="00874C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CE">
              <w:rPr>
                <w:sz w:val="24"/>
                <w:szCs w:val="24"/>
              </w:rPr>
              <w:t>Arte indígena e 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6E4AF1">
              <w:rPr>
                <w:sz w:val="24"/>
                <w:szCs w:val="24"/>
              </w:rPr>
              <w:t>mportância socioeconômica dos tributos, bens e serviços públicos.</w:t>
            </w:r>
          </w:p>
        </w:tc>
      </w:tr>
      <w:tr w:rsidR="00CF35E8" w:rsidTr="00874CCE">
        <w:trPr>
          <w:trHeight w:val="2922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E8" w:rsidRDefault="006E4AF1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 DE ENSINO:</w:t>
            </w:r>
          </w:p>
          <w:p w:rsidR="00CF35E8" w:rsidRDefault="006E4AF1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Ensino Fundamental I</w:t>
            </w:r>
            <w:r w:rsidR="00874CCE">
              <w:rPr>
                <w:b/>
                <w:sz w:val="24"/>
                <w:szCs w:val="24"/>
              </w:rPr>
              <w:t>I</w:t>
            </w:r>
          </w:p>
          <w:p w:rsidR="00CF35E8" w:rsidRDefault="006E4AF1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(7° ano)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E8" w:rsidRPr="00287098" w:rsidRDefault="006E4AF1">
            <w:pPr>
              <w:spacing w:before="240" w:line="240" w:lineRule="auto"/>
              <w:jc w:val="both"/>
              <w:rPr>
                <w:b/>
                <w:sz w:val="20"/>
                <w:szCs w:val="20"/>
              </w:rPr>
            </w:pPr>
            <w:r w:rsidRPr="00287098">
              <w:rPr>
                <w:b/>
                <w:sz w:val="20"/>
                <w:szCs w:val="20"/>
              </w:rPr>
              <w:t>Habilidades previstas no Currículo de Referência de Mato Grosso do Sul: </w:t>
            </w:r>
          </w:p>
          <w:p w:rsidR="00CF35E8" w:rsidRDefault="006E4AF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(MS.EF69AR34.s.37) Analisar e valorizar o patrimônio cultural, material e imaterial, de culturas diversas, em especial a brasileira, incluindo suas matrizes indígenas, africanas e europeias, de diferentes épocas, e favorecendo a construção de vocabulário e repertório relativos às diferentes linguagens artísticas.</w:t>
            </w:r>
          </w:p>
        </w:tc>
      </w:tr>
      <w:tr w:rsidR="00CF35E8">
        <w:trPr>
          <w:trHeight w:val="860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E8" w:rsidRDefault="006E4AF1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Componente Curricular/Disciplina: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E8" w:rsidRDefault="006E4AF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Arte</w:t>
            </w:r>
          </w:p>
        </w:tc>
      </w:tr>
    </w:tbl>
    <w:p w:rsidR="00CF35E8" w:rsidRDefault="00CF35E8">
      <w:pPr>
        <w:spacing w:line="240" w:lineRule="auto"/>
        <w:rPr>
          <w:sz w:val="24"/>
          <w:szCs w:val="24"/>
        </w:rPr>
      </w:pPr>
    </w:p>
    <w:p w:rsidR="00CF35E8" w:rsidRDefault="006E4A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Leia o texto abaixo sobre pintura corporal indígena.</w:t>
      </w:r>
    </w:p>
    <w:p w:rsidR="00CF35E8" w:rsidRDefault="00CF35E8">
      <w:pPr>
        <w:spacing w:line="240" w:lineRule="auto"/>
        <w:rPr>
          <w:sz w:val="24"/>
          <w:szCs w:val="24"/>
        </w:rPr>
      </w:pPr>
    </w:p>
    <w:p w:rsidR="00CF35E8" w:rsidRDefault="006E4AF1">
      <w:pPr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pintura corporal é usada em certos rituais e de acordo com o gênero e a idade. Indicam os grupos sociais ou a função de cada indivíduo na tribo. Muitas vezes estão associadas a rituais onde ocorrem </w:t>
      </w:r>
      <w:hyperlink r:id="rId4">
        <w:r>
          <w:rPr>
            <w:sz w:val="24"/>
            <w:szCs w:val="24"/>
          </w:rPr>
          <w:t>danças indígenas</w:t>
        </w:r>
      </w:hyperlink>
      <w:r>
        <w:rPr>
          <w:sz w:val="24"/>
          <w:szCs w:val="24"/>
        </w:rPr>
        <w:t xml:space="preserve">. </w:t>
      </w:r>
    </w:p>
    <w:p w:rsidR="00CF35E8" w:rsidRDefault="006E4AF1">
      <w:pPr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tintas usadas são naturais, ou seja, são feitas de plantas e frutos. O jenipapo é o fruto mais usado. Os índios o utilizam para escurecer a pele, enquanto o urucum dá o tom vermelho. Já o branco é conseguido através da tabatinga. </w:t>
      </w:r>
    </w:p>
    <w:p w:rsidR="00CF35E8" w:rsidRDefault="006E4AF1">
      <w:pPr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as mulheres que pintam os corpos e os desenhos têm valor simbólico, retratando um momento ou um sentimento. </w:t>
      </w:r>
    </w:p>
    <w:p w:rsidR="00CF35E8" w:rsidRDefault="006E4AF1">
      <w:pPr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padrões gráficos mais elaborados são da cultura </w:t>
      </w:r>
      <w:r>
        <w:rPr>
          <w:i/>
          <w:sz w:val="24"/>
          <w:szCs w:val="24"/>
        </w:rPr>
        <w:t>Kadiwéu</w:t>
      </w:r>
      <w:r>
        <w:rPr>
          <w:sz w:val="24"/>
          <w:szCs w:val="24"/>
        </w:rPr>
        <w:t>. Já em 1560, essa pintura impactou os colonizadores, que ficaram deslumbrados com tamanha técnica e beleza.</w:t>
      </w:r>
    </w:p>
    <w:p w:rsidR="00CF35E8" w:rsidRDefault="006E4AF1">
      <w:pPr>
        <w:spacing w:after="240"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Infelizmente, hoje em dia essa tribo não realiza mais essa pintura corporal, empregando os padrões em peças de cerâmicas para vender aos turistas.</w:t>
      </w:r>
    </w:p>
    <w:p w:rsidR="00CF35E8" w:rsidRDefault="006E4AF1">
      <w:pPr>
        <w:spacing w:after="240" w:line="360" w:lineRule="auto"/>
        <w:ind w:firstLine="850"/>
        <w:jc w:val="right"/>
        <w:rPr>
          <w:sz w:val="24"/>
          <w:szCs w:val="24"/>
        </w:rPr>
      </w:pPr>
      <w:r>
        <w:rPr>
          <w:sz w:val="20"/>
          <w:szCs w:val="20"/>
        </w:rPr>
        <w:t>Disponível em: https://www.todamateria.com.br/arte-indigena-brasileira/</w:t>
      </w:r>
    </w:p>
    <w:p w:rsidR="00CF35E8" w:rsidRDefault="006E4AF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Devido à extinção gradual de certas artes indígenas, como a pintura corporal, você acha importante a existência de órgãos governamentais como o Funai (Fundação Nacional dos Povos Indígenas)? Explique.</w:t>
      </w:r>
    </w:p>
    <w:p w:rsidR="00CF35E8" w:rsidRDefault="006E4AF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</w:t>
      </w:r>
    </w:p>
    <w:p w:rsidR="00CF35E8" w:rsidRDefault="006E4AF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CF35E8" w:rsidRDefault="006E4AF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CF35E8" w:rsidRDefault="006E4AF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De onde vêm os recursos usados pelo governo para sustentar órgãos como o Funai?</w:t>
      </w:r>
    </w:p>
    <w:p w:rsidR="00CF35E8" w:rsidRDefault="006E4AF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CF35E8" w:rsidRDefault="006E4AF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Em relação a isso, é correto cobrarmos do governo que seja claro sobre a quantidade de recursos financeiros arrecadados da população? Por quê?</w:t>
      </w:r>
    </w:p>
    <w:p w:rsidR="00CF35E8" w:rsidRDefault="006E4AF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CF35E8" w:rsidRDefault="006E4AF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CF35E8" w:rsidRDefault="006E4AF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 </w:t>
      </w:r>
    </w:p>
    <w:p w:rsidR="00287098" w:rsidRDefault="006E4AF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Pesquise alguns desenhos utilizados nas pinturas corporais e tente reproduzi-los no espaço abaixo.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87098" w:rsidTr="00287098">
        <w:tc>
          <w:tcPr>
            <w:tcW w:w="9019" w:type="dxa"/>
          </w:tcPr>
          <w:p w:rsidR="00287098" w:rsidRDefault="00287098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  <w:p w:rsidR="00287098" w:rsidRDefault="00287098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  <w:p w:rsidR="00287098" w:rsidRDefault="00287098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  <w:p w:rsidR="00287098" w:rsidRDefault="00287098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  <w:p w:rsidR="00287098" w:rsidRDefault="00287098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  <w:p w:rsidR="00287098" w:rsidRDefault="00287098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  <w:p w:rsidR="00287098" w:rsidRDefault="00287098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  <w:p w:rsidR="00287098" w:rsidRDefault="00287098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  <w:p w:rsidR="00287098" w:rsidRDefault="00287098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F35E8" w:rsidRDefault="006E4AF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inline distT="114300" distB="114300" distL="114300" distR="114300">
                <wp:extent cx="5257800" cy="7210425"/>
                <wp:effectExtent l="0" t="0" r="19050" b="28575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7210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F35E8" w:rsidRDefault="00CF35E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style="width:414pt;height:5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F35E8" w:rsidRDefault="00CF35E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F35E8" w:rsidRPr="00287098" w:rsidRDefault="00CF35E8">
      <w:pPr>
        <w:spacing w:line="360" w:lineRule="auto"/>
        <w:jc w:val="center"/>
        <w:rPr>
          <w:sz w:val="18"/>
          <w:szCs w:val="18"/>
        </w:rPr>
      </w:pPr>
    </w:p>
    <w:p w:rsidR="00CF35E8" w:rsidRPr="00287098" w:rsidRDefault="006E4AF1">
      <w:pPr>
        <w:spacing w:line="360" w:lineRule="auto"/>
        <w:jc w:val="both"/>
        <w:rPr>
          <w:sz w:val="18"/>
          <w:szCs w:val="18"/>
        </w:rPr>
      </w:pPr>
      <w:r w:rsidRPr="00287098">
        <w:rPr>
          <w:b/>
          <w:sz w:val="18"/>
          <w:szCs w:val="18"/>
        </w:rPr>
        <w:t>Referências</w:t>
      </w:r>
    </w:p>
    <w:p w:rsidR="00CF35E8" w:rsidRPr="00287098" w:rsidRDefault="006E4AF1">
      <w:pPr>
        <w:spacing w:line="360" w:lineRule="auto"/>
        <w:jc w:val="both"/>
        <w:rPr>
          <w:sz w:val="18"/>
          <w:szCs w:val="18"/>
        </w:rPr>
      </w:pPr>
      <w:r w:rsidRPr="00287098">
        <w:rPr>
          <w:sz w:val="18"/>
          <w:szCs w:val="18"/>
        </w:rPr>
        <w:t xml:space="preserve">BRASIL. Ministério da Educação. </w:t>
      </w:r>
      <w:r w:rsidRPr="00287098">
        <w:rPr>
          <w:b/>
          <w:sz w:val="18"/>
          <w:szCs w:val="18"/>
        </w:rPr>
        <w:t xml:space="preserve">Base Nacional Comum Curricular. </w:t>
      </w:r>
      <w:r w:rsidRPr="00287098">
        <w:rPr>
          <w:sz w:val="18"/>
          <w:szCs w:val="18"/>
        </w:rPr>
        <w:t>Secretaria de Educação Básica. Brasília: MEC/SEB, 2018.</w:t>
      </w:r>
    </w:p>
    <w:p w:rsidR="00287098" w:rsidRDefault="006E4AF1">
      <w:pPr>
        <w:spacing w:line="360" w:lineRule="auto"/>
        <w:jc w:val="both"/>
        <w:rPr>
          <w:sz w:val="24"/>
          <w:szCs w:val="24"/>
        </w:rPr>
      </w:pPr>
      <w:r w:rsidRPr="00287098">
        <w:rPr>
          <w:sz w:val="18"/>
          <w:szCs w:val="18"/>
        </w:rPr>
        <w:t xml:space="preserve">MATO GROSSO DO SUL. Secretaria de Estado de Educação. </w:t>
      </w:r>
      <w:r w:rsidRPr="00287098">
        <w:rPr>
          <w:b/>
          <w:sz w:val="18"/>
          <w:szCs w:val="18"/>
        </w:rPr>
        <w:t>Currículo de referência de Mato Grosso do Sul: educação infantil e ensino fundamental</w:t>
      </w:r>
      <w:r w:rsidRPr="00287098">
        <w:rPr>
          <w:sz w:val="18"/>
          <w:szCs w:val="18"/>
        </w:rPr>
        <w:t xml:space="preserve"> / Organizadores Helio Queiroz Daher; Kalícia de Brito França; Manuelina Martins da Silva Arantes Cabral. Campo Grande: SED, 2019.</w:t>
      </w:r>
    </w:p>
    <w:sectPr w:rsidR="00287098" w:rsidSect="0019421B">
      <w:pgSz w:w="11909" w:h="16834"/>
      <w:pgMar w:top="1440" w:right="1440" w:bottom="1440" w:left="1440" w:header="720" w:footer="720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E8"/>
    <w:rsid w:val="0019421B"/>
    <w:rsid w:val="00287098"/>
    <w:rsid w:val="006B4C57"/>
    <w:rsid w:val="006E4AF1"/>
    <w:rsid w:val="00874CCE"/>
    <w:rsid w:val="00C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3EA60-4152-4FE6-BDAB-26C45BE8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2870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damateria.com.br/dancas-indigenas-tipos-caracteristicas-e-objetiv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Masae Shirota</dc:creator>
  <cp:lastModifiedBy>Larissa Diniz Paraguassu</cp:lastModifiedBy>
  <cp:revision>5</cp:revision>
  <dcterms:created xsi:type="dcterms:W3CDTF">2023-09-05T18:16:00Z</dcterms:created>
  <dcterms:modified xsi:type="dcterms:W3CDTF">2024-01-30T15:26:00Z</dcterms:modified>
</cp:coreProperties>
</file>