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F6" w:rsidRDefault="002279F6" w:rsidP="002279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748"/>
        <w:gridCol w:w="5746"/>
      </w:tblGrid>
      <w:tr w:rsidR="002279F6" w:rsidTr="00110D2A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F6" w:rsidRDefault="002279F6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F6" w:rsidRPr="00DF5BF0" w:rsidRDefault="002C4650" w:rsidP="002C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F5BF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Conhecendo  a importância dos serviços públicos invisíveis na saúde do esportista</w:t>
            </w:r>
            <w:r w:rsidR="00DF5BF0" w:rsidRPr="00DF5BF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2279F6" w:rsidTr="002279F6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F6" w:rsidRDefault="002279F6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 DE ENSINO:</w:t>
            </w:r>
          </w:p>
          <w:p w:rsidR="002279F6" w:rsidRDefault="002279F6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II</w:t>
            </w:r>
          </w:p>
          <w:p w:rsidR="00526564" w:rsidRPr="00DF5BF0" w:rsidRDefault="00DF5BF0" w:rsidP="00526564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F5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 e 9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F6" w:rsidRDefault="0022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1D2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Habilidades previstas no Currículo de Referência de Mato Grosso do Sul </w:t>
            </w:r>
          </w:p>
          <w:p w:rsidR="004056B1" w:rsidRPr="006C1D2E" w:rsidRDefault="0040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4056B1" w:rsidRPr="004056B1" w:rsidRDefault="004056B1" w:rsidP="0040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proofErr w:type="gramStart"/>
            <w:r w:rsidRPr="004056B1">
              <w:rPr>
                <w:rFonts w:ascii="Times New Roman" w:hAnsi="Times New Roman" w:cs="Times New Roman"/>
                <w:sz w:val="24"/>
                <w:szCs w:val="24"/>
              </w:rPr>
              <w:t>MS.EF</w:t>
            </w:r>
            <w:proofErr w:type="gramEnd"/>
            <w:r w:rsidRPr="004056B1">
              <w:rPr>
                <w:rFonts w:ascii="Times New Roman" w:hAnsi="Times New Roman" w:cs="Times New Roman"/>
                <w:sz w:val="24"/>
                <w:szCs w:val="24"/>
              </w:rPr>
              <w:t xml:space="preserve">89EF11.s.06) Identificar as diferenças e semelhanças entre a ginástica de conscientização corporal e as de condicionamento físico e discutir como a prática de cada uma dessas manifestações pode contribuir para a melhoria das condições de vida, saúde, bem-estar e cuidado consigo mesmo. </w:t>
            </w:r>
          </w:p>
          <w:p w:rsidR="002279F6" w:rsidRPr="004056B1" w:rsidRDefault="004056B1" w:rsidP="0040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5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56B1">
              <w:rPr>
                <w:rFonts w:ascii="Times New Roman" w:hAnsi="Times New Roman" w:cs="Times New Roman"/>
                <w:sz w:val="24"/>
                <w:szCs w:val="24"/>
              </w:rPr>
              <w:t>MS.EF</w:t>
            </w:r>
            <w:proofErr w:type="gramEnd"/>
            <w:r w:rsidRPr="004056B1">
              <w:rPr>
                <w:rFonts w:ascii="Times New Roman" w:hAnsi="Times New Roman" w:cs="Times New Roman"/>
                <w:sz w:val="24"/>
                <w:szCs w:val="24"/>
              </w:rPr>
              <w:t>89EF00.n.07) Cuidar da sua saúde física e psicológica, bem estar, afetividade, sexualidade e evitar exposições a risco.</w:t>
            </w:r>
          </w:p>
          <w:p w:rsidR="004056B1" w:rsidRPr="004056B1" w:rsidRDefault="004056B1" w:rsidP="0040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F6" w:rsidRDefault="002279F6" w:rsidP="0011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279F6" w:rsidTr="004056B1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F6" w:rsidRDefault="002279F6">
            <w:pPr>
              <w:spacing w:after="214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Componente Curricular/Disciplina: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F6" w:rsidRDefault="0040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Física</w:t>
            </w:r>
          </w:p>
        </w:tc>
      </w:tr>
    </w:tbl>
    <w:p w:rsidR="002279F6" w:rsidRDefault="002279F6" w:rsidP="0022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9F6" w:rsidRDefault="002279F6" w:rsidP="002279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Atividade:</w:t>
      </w:r>
    </w:p>
    <w:p w:rsidR="0004337F" w:rsidRDefault="004056B1" w:rsidP="00A5506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Atividade 1</w:t>
      </w:r>
      <w:r w:rsidR="0004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</w:p>
    <w:p w:rsidR="00F13C26" w:rsidRPr="00F13C26" w:rsidRDefault="00F13C26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esta atividade pode convidar um médico, ou um atleta federado.  </w:t>
      </w:r>
    </w:p>
    <w:p w:rsidR="0004337F" w:rsidRDefault="0004337F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Roda de conversa sobre a prática saudável dos exercícios físicos X Riscos para a saúde</w:t>
      </w: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="006A519C"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AC016A" w:rsidRPr="00F13C26" w:rsidRDefault="00AC016A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- Avaliação médica para pessoas sedentárias; limites de esforço físico;</w:t>
      </w:r>
    </w:p>
    <w:p w:rsidR="006A519C" w:rsidRDefault="006A519C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-</w:t>
      </w:r>
      <w:r w:rsid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Discutir sobre o uso de anabolizante sem acompanhamen</w:t>
      </w:r>
      <w:r w:rsid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to de um profissional da saúde;</w:t>
      </w:r>
    </w:p>
    <w:p w:rsidR="00AC016A" w:rsidRPr="00F13C26" w:rsidRDefault="00AC016A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- Comércio ilegal contrabando, </w:t>
      </w: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2C4650" w:rsidRPr="00F13C26" w:rsidRDefault="006A519C" w:rsidP="00A5506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- </w:t>
      </w:r>
      <w:r w:rsidR="002C4650"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Procedência desses produtos, </w:t>
      </w:r>
      <w:r w:rsidR="001B7A85"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Registro na Anvisa,</w:t>
      </w:r>
    </w:p>
    <w:p w:rsidR="006A519C" w:rsidRDefault="002C4650" w:rsidP="00A5506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- Reconhecer a atuação das agências reguladoras na proteção da saúde da população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F13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brasileira.</w:t>
      </w:r>
      <w:r w:rsidR="006A5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2279F6" w:rsidRDefault="002279F6" w:rsidP="00DF5B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79F6" w:rsidRDefault="00DF5BF0" w:rsidP="00A55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</w:t>
      </w:r>
      <w:r w:rsidR="002279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atividades permitem que os alunos explorem a relação entre impostos públicos, saúde física e psicológica, bem como a prevenção de exposições a riscos. Ao analisar como os recursos coletados podem ser direcionados para iniciativas de promoção de bem-estar, os alunos são incentivados a refletir sobre o papel dos impostos na melhoria da qualidade de vida da sociedade.</w:t>
      </w:r>
    </w:p>
    <w:p w:rsidR="002279F6" w:rsidRDefault="002279F6" w:rsidP="00A5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8FA" w:rsidRDefault="00A508FA" w:rsidP="00A55065">
      <w:pPr>
        <w:jc w:val="both"/>
      </w:pPr>
    </w:p>
    <w:p w:rsidR="00DF5BF0" w:rsidRDefault="00DF5BF0" w:rsidP="00A55065">
      <w:pPr>
        <w:jc w:val="both"/>
      </w:pPr>
      <w:r w:rsidRPr="00DF5BF0">
        <w:rPr>
          <w:sz w:val="28"/>
          <w:szCs w:val="28"/>
        </w:rPr>
        <w:lastRenderedPageBreak/>
        <w:t>T</w:t>
      </w:r>
      <w:r w:rsidR="006A519C" w:rsidRPr="00DF5BF0">
        <w:rPr>
          <w:sz w:val="28"/>
          <w:szCs w:val="28"/>
        </w:rPr>
        <w:t>extos</w:t>
      </w:r>
      <w:r>
        <w:rPr>
          <w:sz w:val="28"/>
          <w:szCs w:val="28"/>
        </w:rPr>
        <w:t xml:space="preserve"> e reportagem sobre o assunto</w:t>
      </w:r>
      <w:r w:rsidR="006A519C" w:rsidRPr="00DF5BF0">
        <w:rPr>
          <w:sz w:val="28"/>
          <w:szCs w:val="28"/>
        </w:rPr>
        <w:t>:</w:t>
      </w:r>
      <w:r w:rsidR="006A519C">
        <w:t xml:space="preserve">  </w:t>
      </w:r>
    </w:p>
    <w:p w:rsidR="006C1D2E" w:rsidRDefault="00E42BB2" w:rsidP="00A55065">
      <w:pPr>
        <w:jc w:val="both"/>
      </w:pPr>
      <w:hyperlink r:id="rId5" w:history="1">
        <w:r w:rsidR="006A519C" w:rsidRPr="00E96920">
          <w:rPr>
            <w:rStyle w:val="Hyperlink"/>
          </w:rPr>
          <w:t>https://brasilescola.uol.com.br/biologia/anabolizantes.htm</w:t>
        </w:r>
      </w:hyperlink>
    </w:p>
    <w:p w:rsidR="006A519C" w:rsidRDefault="00E42BB2" w:rsidP="00A55065">
      <w:pPr>
        <w:jc w:val="both"/>
      </w:pPr>
      <w:hyperlink r:id="rId6" w:history="1">
        <w:r w:rsidR="006A519C" w:rsidRPr="00E96920">
          <w:rPr>
            <w:rStyle w:val="Hyperlink"/>
          </w:rPr>
          <w:t>https://brasilescola.uol.com.br/quimica/esteroides-anabolizantes-forca-beleza-enganosas.htm</w:t>
        </w:r>
      </w:hyperlink>
    </w:p>
    <w:p w:rsidR="006A519C" w:rsidRPr="00DF5BF0" w:rsidRDefault="006A519C" w:rsidP="00DF5BF0">
      <w:pPr>
        <w:pStyle w:val="Ttulo1"/>
        <w:spacing w:before="0" w:beforeAutospacing="0" w:after="0" w:afterAutospacing="0"/>
        <w:jc w:val="both"/>
        <w:rPr>
          <w:color w:val="111111"/>
          <w:sz w:val="24"/>
          <w:szCs w:val="24"/>
        </w:rPr>
      </w:pPr>
      <w:r w:rsidRPr="00DF5BF0">
        <w:rPr>
          <w:color w:val="111111"/>
          <w:sz w:val="24"/>
          <w:szCs w:val="24"/>
        </w:rPr>
        <w:t>Anabolizantes proibidos para fins estéticos e esportivos: veja riscos do uso</w:t>
      </w:r>
    </w:p>
    <w:p w:rsidR="006A519C" w:rsidRPr="00DF5BF0" w:rsidRDefault="006A519C" w:rsidP="00DF5BF0">
      <w:pPr>
        <w:pStyle w:val="Ttulo2"/>
        <w:spacing w:before="0" w:beforeAutospacing="0" w:after="0" w:afterAutospacing="0"/>
        <w:jc w:val="both"/>
        <w:rPr>
          <w:color w:val="555555"/>
          <w:sz w:val="24"/>
          <w:szCs w:val="24"/>
        </w:rPr>
      </w:pPr>
      <w:r w:rsidRPr="00DF5BF0">
        <w:rPr>
          <w:color w:val="555555"/>
          <w:sz w:val="24"/>
          <w:szCs w:val="24"/>
        </w:rPr>
        <w:t>Conselho Federal de Medicina vetou a prescrição de esteroides para ganho de massa muscular e desempenho: médico endocrinologista explica o que são, o que podem causar e os casos em que são permitidos e indicados</w:t>
      </w:r>
    </w:p>
    <w:p w:rsidR="006A519C" w:rsidRDefault="006A519C" w:rsidP="00DF5BF0">
      <w:pPr>
        <w:pStyle w:val="content-publication-datafrom"/>
        <w:spacing w:before="0" w:after="0"/>
        <w:jc w:val="both"/>
        <w:rPr>
          <w:color w:val="555555"/>
        </w:rPr>
      </w:pPr>
      <w:r>
        <w:rPr>
          <w:color w:val="555555"/>
        </w:rPr>
        <w:t>Por Eu Atleta </w:t>
      </w:r>
      <w:r>
        <w:rPr>
          <w:rFonts w:ascii="inherit" w:hAnsi="inherit"/>
          <w:color w:val="555555"/>
          <w:bdr w:val="none" w:sz="0" w:space="0" w:color="auto" w:frame="1"/>
        </w:rPr>
        <w:t>— Rio de Janeiro</w:t>
      </w:r>
    </w:p>
    <w:p w:rsidR="006A519C" w:rsidRDefault="006A519C" w:rsidP="00DF5BF0">
      <w:pPr>
        <w:pStyle w:val="content-publication-dataupdated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11/04/2023 17h</w:t>
      </w:r>
      <w:proofErr w:type="gramStart"/>
      <w:r>
        <w:rPr>
          <w:color w:val="555555"/>
        </w:rPr>
        <w:t>21 </w:t>
      </w:r>
      <w:r>
        <w:rPr>
          <w:rStyle w:val="content-publication-dataupdated-relative"/>
          <w:color w:val="555555"/>
          <w:bdr w:val="none" w:sz="0" w:space="0" w:color="auto" w:frame="1"/>
        </w:rPr>
        <w:t> Atualizado</w:t>
      </w:r>
      <w:proofErr w:type="gramEnd"/>
      <w:r>
        <w:rPr>
          <w:rStyle w:val="content-publication-dataupdated-relative"/>
          <w:color w:val="555555"/>
          <w:bdr w:val="none" w:sz="0" w:space="0" w:color="auto" w:frame="1"/>
        </w:rPr>
        <w:t> há 4 meses</w:t>
      </w:r>
    </w:p>
    <w:p w:rsidR="006A519C" w:rsidRDefault="00E42BB2" w:rsidP="00DF5BF0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6A519C" w:rsidRDefault="006A519C" w:rsidP="006A519C">
      <w:pPr>
        <w:shd w:val="clear" w:color="auto" w:fill="EFEFEF"/>
        <w:jc w:val="center"/>
        <w:textAlignment w:val="bottom"/>
      </w:pPr>
    </w:p>
    <w:p w:rsidR="006A519C" w:rsidRPr="00DF5BF0" w:rsidRDefault="00E42BB2" w:rsidP="00DF5BF0">
      <w:pPr>
        <w:pStyle w:val="content-textcontainer"/>
        <w:spacing w:before="0" w:beforeAutospacing="0" w:after="0" w:afterAutospacing="0"/>
        <w:jc w:val="both"/>
      </w:pPr>
      <w:hyperlink r:id="rId7" w:history="1"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 xml:space="preserve">O Conselho Federal de Medicina proibiu a prescrição de esteroides androgênicos anabolizantes para fins estéticos, de ganho de massa muscular e de </w:t>
        </w:r>
        <w:proofErr w:type="spellStart"/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melhora</w:t>
        </w:r>
        <w:proofErr w:type="spellEnd"/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 xml:space="preserve"> de desempenho esportivo</w:t>
        </w:r>
      </w:hyperlink>
      <w:r w:rsidR="006A519C" w:rsidRPr="00DF5BF0">
        <w:t xml:space="preserve">, em medida publicada no Diário Oficial desta terça-feira, 11 de abril. Mas os medicamentos ainda são indicados e permitidos em alguns casos, desde que com prescrição e acompanhamento médicos. Com ajuda do médico endocrinologista e do esporte Guilherme </w:t>
      </w:r>
      <w:proofErr w:type="spellStart"/>
      <w:r w:rsidR="006A519C" w:rsidRPr="00DF5BF0">
        <w:t>Renke</w:t>
      </w:r>
      <w:proofErr w:type="spellEnd"/>
      <w:r w:rsidR="006A519C" w:rsidRPr="00DF5BF0">
        <w:t>, vamos entender abaixo por que houve a proibição e para quais casos ainda há permissão, além de ver uma lista de </w:t>
      </w:r>
      <w:hyperlink r:id="rId8" w:history="1"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problemas de saúde e doenças que o uso indiscriminado de esteroides pode causar</w:t>
        </w:r>
      </w:hyperlink>
      <w:r w:rsidR="006A519C" w:rsidRPr="00DF5BF0">
        <w:t>.</w:t>
      </w:r>
    </w:p>
    <w:p w:rsidR="006A519C" w:rsidRPr="00DF5BF0" w:rsidRDefault="006A519C" w:rsidP="00DF5BF0">
      <w:pPr>
        <w:pStyle w:val="Ttulo2"/>
        <w:spacing w:before="0" w:beforeAutospacing="0" w:after="0" w:afterAutospacing="0"/>
        <w:jc w:val="both"/>
      </w:pPr>
      <w:r w:rsidRPr="00DF5BF0">
        <w:t>O que são os esteroides androgênicos anabolizantes?</w:t>
      </w:r>
    </w:p>
    <w:p w:rsidR="006A519C" w:rsidRDefault="006A519C" w:rsidP="00DF5BF0">
      <w:pPr>
        <w:shd w:val="clear" w:color="auto" w:fill="EEEEEE"/>
        <w:jc w:val="both"/>
        <w:rPr>
          <w:rFonts w:ascii="inherit" w:hAnsi="inherit"/>
          <w:color w:val="555555"/>
        </w:rPr>
      </w:pPr>
      <w:r>
        <w:rPr>
          <w:noProof/>
          <w:lang w:eastAsia="pt-BR"/>
        </w:rPr>
        <w:drawing>
          <wp:inline distT="0" distB="0" distL="0" distR="0">
            <wp:extent cx="5362575" cy="3486150"/>
            <wp:effectExtent l="0" t="0" r="9525" b="0"/>
            <wp:docPr id="3" name="Imagem 3" descr="Esteroides anabolizantes foram proibidos pelo Conselho Federal de Medicina — Foto: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eroides anabolizantes foram proibidos pelo Conselho Federal de Medicina — Foto: Getty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555555"/>
        </w:rPr>
        <w:t xml:space="preserve">Esteroides anabolizantes foram proibidos pelo Conselho Federal de Medicina — Foto: </w:t>
      </w:r>
      <w:proofErr w:type="spellStart"/>
      <w:r>
        <w:rPr>
          <w:rFonts w:ascii="inherit" w:hAnsi="inherit"/>
          <w:color w:val="555555"/>
        </w:rPr>
        <w:t>Getty</w:t>
      </w:r>
      <w:proofErr w:type="spellEnd"/>
      <w:r>
        <w:rPr>
          <w:rFonts w:ascii="inherit" w:hAnsi="inherit"/>
          <w:color w:val="555555"/>
        </w:rPr>
        <w:t xml:space="preserve"> </w:t>
      </w:r>
      <w:proofErr w:type="spellStart"/>
      <w:r>
        <w:rPr>
          <w:rFonts w:ascii="inherit" w:hAnsi="inherit"/>
          <w:color w:val="555555"/>
        </w:rPr>
        <w:t>Images</w:t>
      </w:r>
      <w:proofErr w:type="spellEnd"/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t xml:space="preserve">Os esteroides androgênicos anabolizantes são substâncias derivadas do hormônio testosterona e outros medicamentos que se unem a receptores de testosterona, os SARMS, </w:t>
      </w:r>
      <w:r>
        <w:lastRenderedPageBreak/>
        <w:t>moduladores seletivos do receptor de androgênio. Eles já eram proibidos pela Anvisa, mas seu uso permanece ocorrendo, com venda dentro de algumas academias e em sites. Nos últimos anos, houve um aumento de prescrições de esteroides por médicos e de venda de cursos sobre o tema, o que acendeu o sinal de alerta no Conselho Federal de Medicina.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t>São muito usados para ganho de massa muscular por atletas de fisiculturismo e de outras modalidades que exigem força, como levantamento de peso, lutas e provas de atletismo como lançamento de peso e arremesso de martelo, disco e dardo; e explosão muscular como provas de velocidade (100m ou 200m rasos, por exemplo). São, em todos os casos, considerados doping, punidos com suspensão e até mesmo exclusão do esporte.</w:t>
      </w:r>
    </w:p>
    <w:p w:rsidR="006A519C" w:rsidRDefault="006A519C" w:rsidP="00DF5BF0">
      <w:pPr>
        <w:pStyle w:val="Ttulo2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Por que são proibidos e que doenças podem causar?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t xml:space="preserve">O médico endocrinologista Guilherme </w:t>
      </w:r>
      <w:proofErr w:type="spellStart"/>
      <w:r>
        <w:t>Renke</w:t>
      </w:r>
      <w:proofErr w:type="spellEnd"/>
      <w:r>
        <w:t xml:space="preserve"> explica que o uso indiscriminado dessas substâncias oferece vários riscos, entre eles: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Aumento da pressão arterial, levando a um estado de hipertensão;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Formação de placas (ateromas) nas artérias;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Aumento do colesterol;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Maior risco cardíaco, em consequência das situações acima. Especialmente de desenvolvimento de doença arterial coronariana;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Risco de falência renal em consequência do aumento da pressão arterial e da retenção de sódio;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Sobrecarga no fígado, causando hepatite medicamentosa, especialmente nos casos de anabolizantes orais, que são metabolizados pelo fígado;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Alteração de comportamento, com possibilidade de a pessoa ficar mais agressiva e agitada;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Risco de infertilidade;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Possibilidade de aumento da queda de cabelo e da calvície;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Acne;</w:t>
      </w:r>
    </w:p>
    <w:p w:rsidR="006A519C" w:rsidRDefault="006A519C" w:rsidP="00DF5BF0">
      <w:pPr>
        <w:numPr>
          <w:ilvl w:val="0"/>
          <w:numId w:val="3"/>
        </w:numPr>
        <w:spacing w:after="100" w:afterAutospacing="1" w:line="240" w:lineRule="auto"/>
        <w:ind w:left="0"/>
        <w:jc w:val="both"/>
      </w:pPr>
      <w:r>
        <w:t>Voz grossa;</w:t>
      </w:r>
    </w:p>
    <w:p w:rsidR="006A519C" w:rsidRDefault="006A519C" w:rsidP="00DF5BF0">
      <w:pPr>
        <w:numPr>
          <w:ilvl w:val="0"/>
          <w:numId w:val="3"/>
        </w:numPr>
        <w:spacing w:after="0" w:line="240" w:lineRule="auto"/>
        <w:ind w:left="0"/>
        <w:jc w:val="both"/>
      </w:pPr>
      <w:r>
        <w:t>Em caso de atletas profissionais, doping.</w:t>
      </w:r>
    </w:p>
    <w:p w:rsidR="006A519C" w:rsidRDefault="006A519C" w:rsidP="00DF5BF0">
      <w:pPr>
        <w:pStyle w:val="Ttulo2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Para que </w:t>
      </w:r>
      <w:proofErr w:type="gramStart"/>
      <w:r>
        <w:rPr>
          <w:color w:val="111111"/>
        </w:rPr>
        <w:t>e</w:t>
      </w:r>
      <w:proofErr w:type="gramEnd"/>
      <w:r>
        <w:rPr>
          <w:color w:val="111111"/>
        </w:rPr>
        <w:t xml:space="preserve"> para quem ainda podem ser indicados e prescritos?</w:t>
      </w:r>
    </w:p>
    <w:p w:rsidR="006A519C" w:rsidRDefault="006A519C" w:rsidP="00DF5BF0">
      <w:pPr>
        <w:shd w:val="clear" w:color="auto" w:fill="EEEEEE"/>
        <w:jc w:val="both"/>
      </w:pPr>
      <w:r>
        <w:rPr>
          <w:noProof/>
          <w:lang w:eastAsia="pt-BR"/>
        </w:rPr>
        <w:drawing>
          <wp:inline distT="0" distB="0" distL="0" distR="0">
            <wp:extent cx="5343525" cy="2914650"/>
            <wp:effectExtent l="0" t="0" r="9525" b="0"/>
            <wp:docPr id="2" name="Imagem 2" descr="Ossos em diferentes estágios de osteoporose: quanto mais poroso, mais frágil. Em casos graves, a testosterona pode ser indicada — Foto: Istock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sos em diferentes estágios de osteoporose: quanto mais poroso, mais frágil. Em casos graves, a testosterona pode ser indicada — Foto: Istock Getty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9C" w:rsidRDefault="006A519C" w:rsidP="00DF5BF0">
      <w:pPr>
        <w:pStyle w:val="content-mediadescription"/>
        <w:jc w:val="both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Ossos em diferentes estágios de osteoporose: quanto mais poroso, mais frágil. Em casos graves, a testosterona pode ser indicada — Foto: </w:t>
      </w:r>
      <w:proofErr w:type="spellStart"/>
      <w:r>
        <w:rPr>
          <w:rFonts w:ascii="inherit" w:hAnsi="inherit"/>
          <w:color w:val="555555"/>
        </w:rPr>
        <w:t>Istock</w:t>
      </w:r>
      <w:proofErr w:type="spellEnd"/>
      <w:r>
        <w:rPr>
          <w:rFonts w:ascii="inherit" w:hAnsi="inherit"/>
          <w:color w:val="555555"/>
        </w:rPr>
        <w:t xml:space="preserve"> </w:t>
      </w:r>
      <w:proofErr w:type="spellStart"/>
      <w:r>
        <w:rPr>
          <w:rFonts w:ascii="inherit" w:hAnsi="inherit"/>
          <w:color w:val="555555"/>
        </w:rPr>
        <w:t>Getty</w:t>
      </w:r>
      <w:proofErr w:type="spellEnd"/>
      <w:r>
        <w:rPr>
          <w:rFonts w:ascii="inherit" w:hAnsi="inherit"/>
          <w:color w:val="555555"/>
        </w:rPr>
        <w:t xml:space="preserve"> </w:t>
      </w:r>
      <w:proofErr w:type="spellStart"/>
      <w:r>
        <w:rPr>
          <w:rFonts w:ascii="inherit" w:hAnsi="inherit"/>
          <w:color w:val="555555"/>
        </w:rPr>
        <w:t>Images</w:t>
      </w:r>
      <w:proofErr w:type="spellEnd"/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lastRenderedPageBreak/>
        <w:t xml:space="preserve">Guilherme </w:t>
      </w:r>
      <w:proofErr w:type="spellStart"/>
      <w:r>
        <w:t>Renke</w:t>
      </w:r>
      <w:proofErr w:type="spellEnd"/>
      <w:r>
        <w:t xml:space="preserve"> comenta que embora essa medida seja importante para coibir o mau uso, ela pode ter o efeito indesejado de afastar quem realmente precisa de tratamento com esteroides androgênicos anabolizantes. As substâncias seguem permitidas, dentro de quadros clínicos específicos respaldados por sintomas e exames laboratoriais, para:</w:t>
      </w:r>
    </w:p>
    <w:p w:rsidR="006A519C" w:rsidRDefault="006A519C" w:rsidP="00DF5BF0">
      <w:pPr>
        <w:numPr>
          <w:ilvl w:val="0"/>
          <w:numId w:val="4"/>
        </w:numPr>
        <w:spacing w:after="100" w:afterAutospacing="1" w:line="240" w:lineRule="auto"/>
        <w:ind w:left="0"/>
        <w:jc w:val="both"/>
      </w:pPr>
      <w:r>
        <w:t>Mulheres com transtorno sexual hipoativo (que gera queda de libido), incluindo as que estão na menopausa e não conseguiram resolver o problema com outros tipos de reposição hormonal;</w:t>
      </w:r>
    </w:p>
    <w:p w:rsidR="006A519C" w:rsidRPr="00DF5BF0" w:rsidRDefault="00E42BB2" w:rsidP="00DF5BF0">
      <w:pPr>
        <w:numPr>
          <w:ilvl w:val="0"/>
          <w:numId w:val="4"/>
        </w:numPr>
        <w:spacing w:after="0" w:afterAutospacing="1" w:line="240" w:lineRule="auto"/>
        <w:ind w:left="0"/>
        <w:jc w:val="both"/>
      </w:pPr>
      <w:hyperlink r:id="rId11" w:history="1"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 xml:space="preserve">Homens com </w:t>
        </w:r>
        <w:proofErr w:type="spellStart"/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hipogonadismo</w:t>
        </w:r>
        <w:proofErr w:type="spellEnd"/>
        <w:r w:rsidR="006A519C"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, condição em que a redução dos níveis de testosterona é acompanhada de sintomas</w:t>
        </w:r>
      </w:hyperlink>
      <w:r w:rsidR="006A519C" w:rsidRPr="00DF5BF0">
        <w:t> que vão de alterações de humor a aumento da circunferência abdominal, passando também pela perda de libido;</w:t>
      </w:r>
    </w:p>
    <w:p w:rsidR="006A519C" w:rsidRPr="00DF5BF0" w:rsidRDefault="006A519C" w:rsidP="00DF5BF0">
      <w:pPr>
        <w:numPr>
          <w:ilvl w:val="0"/>
          <w:numId w:val="4"/>
        </w:numPr>
        <w:spacing w:after="0" w:afterAutospacing="1" w:line="240" w:lineRule="auto"/>
        <w:ind w:left="0"/>
        <w:jc w:val="both"/>
      </w:pPr>
      <w:r w:rsidRPr="00DF5BF0">
        <w:t>Pessoas de qualquer idade com </w:t>
      </w:r>
      <w:hyperlink r:id="rId12" w:history="1">
        <w:r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osteoporose grave</w:t>
        </w:r>
      </w:hyperlink>
      <w:r w:rsidRPr="00DF5BF0">
        <w:t>;</w:t>
      </w:r>
    </w:p>
    <w:p w:rsidR="006A519C" w:rsidRPr="00DF5BF0" w:rsidRDefault="006A519C" w:rsidP="00DF5BF0">
      <w:pPr>
        <w:numPr>
          <w:ilvl w:val="0"/>
          <w:numId w:val="4"/>
        </w:numPr>
        <w:spacing w:after="0" w:line="240" w:lineRule="auto"/>
        <w:ind w:left="0"/>
        <w:jc w:val="both"/>
      </w:pPr>
      <w:r w:rsidRPr="00DF5BF0">
        <w:t>Pessoas de qualquer idade com </w:t>
      </w:r>
      <w:proofErr w:type="spellStart"/>
      <w:r w:rsidRPr="00DF5BF0">
        <w:fldChar w:fldCharType="begin"/>
      </w:r>
      <w:r w:rsidRPr="00DF5BF0">
        <w:instrText xml:space="preserve"> HYPERLINK "https://globoesporte.globo.com/eu-atleta/saude/post/2019/08/06/o-que-e-sarcopenia-creatina-e-exercicios-podem-ajudar-a-evitar-perda-de-massa-muscular.ghtml" </w:instrText>
      </w:r>
      <w:r w:rsidRPr="00DF5BF0">
        <w:fldChar w:fldCharType="separate"/>
      </w:r>
      <w:r w:rsidRPr="00DF5BF0">
        <w:rPr>
          <w:rStyle w:val="Hyperlink"/>
          <w:rFonts w:ascii="inherit" w:hAnsi="inherit"/>
          <w:color w:val="auto"/>
          <w:bdr w:val="none" w:sz="0" w:space="0" w:color="auto" w:frame="1"/>
        </w:rPr>
        <w:t>sarcopenia</w:t>
      </w:r>
      <w:proofErr w:type="spellEnd"/>
      <w:r w:rsidRPr="00DF5BF0">
        <w:rPr>
          <w:rStyle w:val="Hyperlink"/>
          <w:rFonts w:ascii="inherit" w:hAnsi="inherit"/>
          <w:color w:val="auto"/>
          <w:bdr w:val="none" w:sz="0" w:space="0" w:color="auto" w:frame="1"/>
        </w:rPr>
        <w:t xml:space="preserve"> grave</w:t>
      </w:r>
      <w:r w:rsidRPr="00DF5BF0">
        <w:fldChar w:fldCharType="end"/>
      </w:r>
      <w:r w:rsidRPr="00DF5BF0">
        <w:t>.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 w:rsidRPr="00DF5BF0">
        <w:t>- A gente precisa de acolhimento tanto para essas pessoas que precisam da terapi</w:t>
      </w:r>
      <w:r>
        <w:t xml:space="preserve">a hormonal com testosterona quanto para aquelas que usam os esteroides de forma errada e precisam de tratamento para parar de usar. Porque não se pode parar de forma abrupta, há protocolos médicos. É preciso avaliar os danos que o uso dos esteroides causou na saúde da pessoa e começar um protocolo de medicamentos para restabelecimento do eixo hormonal dessa pessoa, para que ela possa retirar a testosterona aos poucos e para seu organismo voltar a produzi-la sozinho - esclarece </w:t>
      </w:r>
      <w:proofErr w:type="spellStart"/>
      <w:r>
        <w:t>Renke</w:t>
      </w:r>
      <w:proofErr w:type="spellEnd"/>
      <w:r>
        <w:t>.</w:t>
      </w:r>
    </w:p>
    <w:p w:rsidR="006A519C" w:rsidRPr="00DF5BF0" w:rsidRDefault="006A519C" w:rsidP="00DF5BF0">
      <w:pPr>
        <w:pStyle w:val="Ttulo2"/>
        <w:spacing w:before="0" w:beforeAutospacing="0" w:after="0" w:afterAutospacing="0"/>
        <w:jc w:val="both"/>
      </w:pPr>
      <w:r w:rsidRPr="00DF5BF0">
        <w:t>Dois casos famosos de doping por anabolizante no Brasil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 w:rsidRPr="00DF5BF0">
        <w:t>Dois </w:t>
      </w:r>
      <w:hyperlink r:id="rId13" w:history="1">
        <w:r w:rsidRPr="00DF5BF0">
          <w:rPr>
            <w:rStyle w:val="Hyperlink"/>
            <w:rFonts w:ascii="inherit" w:hAnsi="inherit"/>
            <w:color w:val="auto"/>
            <w:bdr w:val="none" w:sz="0" w:space="0" w:color="auto" w:frame="1"/>
          </w:rPr>
          <w:t>casos famosos de doping por esteroides</w:t>
        </w:r>
      </w:hyperlink>
      <w:r w:rsidRPr="00DF5BF0">
        <w:t xml:space="preserve"> anabolizantes no Brasil são os das atletas Maurren Maggi e Rebeca Gusmão. Atleta do </w:t>
      </w:r>
      <w:r>
        <w:t xml:space="preserve">salto em distância, Maurren foi pega no antidoping em 2003, com a substância </w:t>
      </w:r>
      <w:proofErr w:type="spellStart"/>
      <w:r>
        <w:t>clostebol</w:t>
      </w:r>
      <w:proofErr w:type="spellEnd"/>
      <w:r>
        <w:t xml:space="preserve">. Ela alegou que o anabolizante veio do uso da pomada </w:t>
      </w:r>
      <w:proofErr w:type="spellStart"/>
      <w:r>
        <w:t>Novaderm</w:t>
      </w:r>
      <w:proofErr w:type="spellEnd"/>
      <w:r>
        <w:t>, um creme cicatrizante usado após uma depilação. Suspensa por dois anos do esporte, perdeu os Jogos de Atenas, em 2004, mas voltou triunfalmente em 2006 e conquistou a medalha de ouro no salto em distância nas Olimpíadas de Pequim 2008, com a marca de 7,04m.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t>A nadadora Rebeca Gusmão, no entanto, foi banida do esporte após testar positivo para a substância testosterona em exames realizados em 2007, durante os jogos Pan-Americanos do Rio de Janeiro. Perdeu as quatro medalhas que havia ganho na competição e todos os seus recordes sul-americanos.</w:t>
      </w:r>
    </w:p>
    <w:p w:rsidR="006A519C" w:rsidRDefault="006A519C" w:rsidP="00DF5BF0">
      <w:pPr>
        <w:pStyle w:val="content-textcontainer"/>
        <w:spacing w:before="0" w:beforeAutospacing="0" w:after="0" w:afterAutospacing="0"/>
        <w:jc w:val="both"/>
      </w:pPr>
      <w:r>
        <w:rPr>
          <w:rStyle w:val="Forte"/>
          <w:rFonts w:ascii="inherit" w:hAnsi="inherit"/>
          <w:bdr w:val="none" w:sz="0" w:space="0" w:color="auto" w:frame="1"/>
        </w:rPr>
        <w:t>Fonte:</w:t>
      </w:r>
      <w:r>
        <w:rPr>
          <w:rFonts w:ascii="inherit" w:hAnsi="inherit"/>
          <w:b/>
          <w:bCs/>
          <w:bdr w:val="none" w:sz="0" w:space="0" w:color="auto" w:frame="1"/>
        </w:rPr>
        <w:br/>
      </w:r>
      <w:r>
        <w:rPr>
          <w:rStyle w:val="nfase"/>
          <w:rFonts w:ascii="inherit" w:hAnsi="inherit"/>
          <w:b/>
          <w:bCs/>
          <w:bdr w:val="none" w:sz="0" w:space="0" w:color="auto" w:frame="1"/>
        </w:rPr>
        <w:t xml:space="preserve">Guilherme </w:t>
      </w:r>
      <w:proofErr w:type="spellStart"/>
      <w:r>
        <w:rPr>
          <w:rStyle w:val="nfase"/>
          <w:rFonts w:ascii="inherit" w:hAnsi="inherit"/>
          <w:b/>
          <w:bCs/>
          <w:bdr w:val="none" w:sz="0" w:space="0" w:color="auto" w:frame="1"/>
        </w:rPr>
        <w:t>Renke</w:t>
      </w:r>
      <w:proofErr w:type="spellEnd"/>
      <w:r>
        <w:rPr>
          <w:rStyle w:val="nfase"/>
          <w:rFonts w:ascii="inherit" w:hAnsi="inherit"/>
          <w:b/>
          <w:bCs/>
          <w:bdr w:val="none" w:sz="0" w:space="0" w:color="auto" w:frame="1"/>
        </w:rPr>
        <w:t> </w:t>
      </w:r>
      <w:r>
        <w:rPr>
          <w:rStyle w:val="nfase"/>
          <w:rFonts w:ascii="inherit" w:hAnsi="inherit"/>
          <w:bdr w:val="none" w:sz="0" w:space="0" w:color="auto" w:frame="1"/>
        </w:rPr>
        <w:t xml:space="preserve">é médico endocrinologista e médico do esporte. Colunista do EU Atleta e sócio fundador da Nutrindo Ideais, é membro da Sociedade Brasileira de Endocrinologia e Metabologia (SBEM), </w:t>
      </w:r>
      <w:proofErr w:type="gramStart"/>
      <w:r>
        <w:rPr>
          <w:rStyle w:val="nfase"/>
          <w:rFonts w:ascii="inherit" w:hAnsi="inherit"/>
          <w:bdr w:val="none" w:sz="0" w:space="0" w:color="auto" w:frame="1"/>
        </w:rPr>
        <w:t>pós -graduado</w:t>
      </w:r>
      <w:proofErr w:type="gramEnd"/>
      <w:r>
        <w:rPr>
          <w:rStyle w:val="nfase"/>
          <w:rFonts w:ascii="inherit" w:hAnsi="inherit"/>
          <w:bdr w:val="none" w:sz="0" w:space="0" w:color="auto" w:frame="1"/>
        </w:rPr>
        <w:t xml:space="preserve"> em Cardiologia pelo Instituto Nacional de Cardiologia do Rio de Janeiro. É pesquisador aprovado pela Fundação de Amparo à Pesquisa do Estado do Rio de Janeiro - FAPERJ.</w:t>
      </w:r>
    </w:p>
    <w:p w:rsidR="006A519C" w:rsidRDefault="00DF5BF0" w:rsidP="00DF5BF0">
      <w:pPr>
        <w:jc w:val="both"/>
      </w:pPr>
      <w:r>
        <w:t>------------------------------------------------------------------------------------------------------------------------------</w:t>
      </w:r>
    </w:p>
    <w:p w:rsidR="001B7A85" w:rsidRPr="00DF5BF0" w:rsidRDefault="00DF5BF0" w:rsidP="00DF5BF0">
      <w:pPr>
        <w:pStyle w:val="Ttulo1"/>
        <w:spacing w:before="120" w:beforeAutospacing="0" w:after="120" w:afterAutospacing="0"/>
        <w:jc w:val="both"/>
        <w:rPr>
          <w:rFonts w:ascii="inherit" w:hAnsi="inherit"/>
          <w:sz w:val="28"/>
          <w:szCs w:val="28"/>
        </w:rPr>
      </w:pPr>
      <w:r w:rsidRPr="00DF5BF0">
        <w:rPr>
          <w:rFonts w:ascii="inherit" w:hAnsi="inherit"/>
          <w:sz w:val="28"/>
          <w:szCs w:val="28"/>
        </w:rPr>
        <w:t>A</w:t>
      </w:r>
      <w:r w:rsidR="001B7A85" w:rsidRPr="00DF5BF0">
        <w:rPr>
          <w:rFonts w:ascii="inherit" w:hAnsi="inherit"/>
          <w:sz w:val="28"/>
          <w:szCs w:val="28"/>
        </w:rPr>
        <w:t>nabolizantes pode ser considerado tráfico de drogas?</w:t>
      </w:r>
    </w:p>
    <w:p w:rsidR="001B7A85" w:rsidRPr="00DF5BF0" w:rsidRDefault="001B7A85" w:rsidP="00DF5BF0">
      <w:pPr>
        <w:pStyle w:val="Ttulo2"/>
        <w:shd w:val="clear" w:color="auto" w:fill="FFFFFF"/>
        <w:spacing w:before="60" w:beforeAutospacing="0" w:after="0" w:afterAutospacing="0"/>
        <w:jc w:val="both"/>
        <w:rPr>
          <w:rFonts w:ascii="inherit" w:hAnsi="inherit"/>
          <w:b w:val="0"/>
          <w:bCs w:val="0"/>
          <w:sz w:val="28"/>
          <w:szCs w:val="28"/>
        </w:rPr>
      </w:pPr>
      <w:r w:rsidRPr="00DF5BF0">
        <w:rPr>
          <w:rFonts w:ascii="inherit" w:hAnsi="inherit"/>
          <w:b w:val="0"/>
          <w:bCs w:val="0"/>
          <w:sz w:val="28"/>
          <w:szCs w:val="28"/>
        </w:rPr>
        <w:t>Anabolizantes pode ser considerado tráfico de drogas?</w:t>
      </w:r>
    </w:p>
    <w:p w:rsidR="001B7A85" w:rsidRDefault="001B7A85" w:rsidP="00DF5BF0">
      <w:pPr>
        <w:jc w:val="both"/>
        <w:rPr>
          <w:color w:val="757575"/>
          <w:spacing w:val="6"/>
          <w:sz w:val="18"/>
          <w:szCs w:val="18"/>
        </w:rPr>
      </w:pPr>
      <w:r>
        <w:rPr>
          <w:color w:val="757575"/>
          <w:spacing w:val="6"/>
          <w:sz w:val="18"/>
          <w:szCs w:val="18"/>
        </w:rPr>
        <w:t>Publicado por </w:t>
      </w:r>
      <w:hyperlink r:id="rId14" w:tooltip="Ver publicações de Carlos Eduardo da Cruz e Silva" w:history="1">
        <w:r>
          <w:rPr>
            <w:rStyle w:val="Hyperlink"/>
            <w:color w:val="757575"/>
            <w:spacing w:val="6"/>
            <w:sz w:val="18"/>
            <w:szCs w:val="18"/>
          </w:rPr>
          <w:t>Carlos Eduardo da Cruz e Silva</w:t>
        </w:r>
      </w:hyperlink>
    </w:p>
    <w:p w:rsidR="001B7A85" w:rsidRDefault="001B7A85" w:rsidP="001B7A85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Georgia" w:hAnsi="Georgia" w:cs="Segoe UI"/>
          <w:color w:val="373A3C"/>
          <w:spacing w:val="2"/>
          <w:sz w:val="30"/>
          <w:szCs w:val="30"/>
        </w:rPr>
      </w:pPr>
      <w:r>
        <w:rPr>
          <w:rFonts w:ascii="Georgia" w:hAnsi="Georgia" w:cs="Segoe UI"/>
          <w:noProof/>
          <w:color w:val="373A3C"/>
          <w:spacing w:val="2"/>
          <w:sz w:val="30"/>
          <w:szCs w:val="30"/>
        </w:rPr>
        <w:lastRenderedPageBreak/>
        <w:drawing>
          <wp:inline distT="0" distB="0" distL="0" distR="0">
            <wp:extent cx="5334000" cy="2181225"/>
            <wp:effectExtent l="0" t="0" r="0" b="9525"/>
            <wp:docPr id="6" name="Imagem 6" descr="https://thumbs.jusbr.com/imgs.jusbr.com/publications/images/e8e5e8e7709af5925281bbe620f3c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jusbr.com/imgs.jusbr.com/publications/images/e8e5e8e7709af5925281bbe620f3cf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85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color w:val="373A3C"/>
          <w:spacing w:val="2"/>
          <w:sz w:val="30"/>
          <w:szCs w:val="30"/>
        </w:rPr>
      </w:pP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E muito comum o comércio de anabolizantes, pessoas que importam esses medicamentos e posteriormente comercializam principalmente em sites de compras pela internet. O problema é que algumas dessas drogas não possuem registro na ANVISA, desse modo, pode ficar caracterizado crime contra a saúde pública.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Aquele que importa, vende, expõe à venda, tem em depósito para vender ou, de qualquer forma, distribui ou entrega a consumo o produto falsificado, corrompido, adulterado ou alterado - pena de 10 a 15 anos e multa (art. </w:t>
      </w:r>
      <w:hyperlink r:id="rId16" w:tooltip="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273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</w:t>
      </w:r>
      <w:hyperlink r:id="rId17" w:tooltip="Parágrafo 1 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§ 1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do </w:t>
      </w:r>
      <w:hyperlink r:id="rId18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CP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).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A crítica é a desproporcionalidade da pena imposta para esse tipo penal. Veja que o crime de tráfico de drogas previsto no art. </w:t>
      </w:r>
      <w:hyperlink r:id="rId19" w:tooltip="Artigo 33 da Lei nº 11.343 de 23 de Agosto de 2006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33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da lei </w:t>
      </w:r>
      <w:hyperlink r:id="rId20" w:tooltip="Lei nº 11.343, de 23 de agosto de 2006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11.343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/06 estabelece pena 5 a 15 anos. O homicídio simples previsto no art. </w:t>
      </w:r>
      <w:hyperlink r:id="rId21" w:tooltip="Artigo 121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121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do </w:t>
      </w:r>
      <w:hyperlink r:id="rId22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CP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a pena é de 6 a 12 anos. Repare que estes crimes graves possuem penas menores que o art. </w:t>
      </w:r>
      <w:hyperlink r:id="rId23" w:tooltip="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273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</w:t>
      </w:r>
      <w:hyperlink r:id="rId24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CP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, há uma desproporcionalidade no preceito secundário (pena), que foge dos padrões normais.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O STJ, em 2018 no </w:t>
      </w:r>
      <w:hyperlink r:id="rId25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Resp. 1755862/RJ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considerou ser inconstitucional o preceito secundário do art. </w:t>
      </w:r>
      <w:hyperlink r:id="rId26" w:tooltip="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273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, § 1º-B, inciso V, do </w:t>
      </w:r>
      <w:hyperlink r:id="rId27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Código Penal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. Em consequência, firmou-se entendimento no sentido de aplicar, em substituição, o preceito secundário previsto para o crime de tráfico de drogas, previsto no art. </w:t>
      </w:r>
      <w:hyperlink r:id="rId28" w:tooltip="Artigo 33 da Lei nº 11.343 de 23 de Agosto de 2006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33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da Lei </w:t>
      </w:r>
      <w:hyperlink r:id="rId29" w:tooltip="Lei nº 11.343, de 23 de agosto de 2006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11.343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/2006, aos casos em que o acusado é condenado pelo crime previsto no art. 273, § 1º-B.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Recentemente no julgamento do Recurso Extraordinário (</w:t>
      </w:r>
      <w:hyperlink r:id="rId3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RE 979962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), o STF declarou inconstitucional a pena prevista no art. </w:t>
      </w:r>
      <w:hyperlink r:id="rId31" w:tooltip="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273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do </w:t>
      </w:r>
      <w:hyperlink r:id="rId32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CP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, determinado que se aplique a pena anterior a Lei nº </w:t>
      </w:r>
      <w:hyperlink r:id="rId33" w:tooltip="Lei nº 9.677, de 2 de julho de 1998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9.677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 xml:space="preserve">/98 (reclusão, de 10 a 15 anos, e multa), à hipótese prevista no seu § 1º-B, I, que versa sobre a importação de medicamento sem registro no órgão de vigilância sanitária. Para esta situação especifica fica </w:t>
      </w:r>
      <w:proofErr w:type="spellStart"/>
      <w:r w:rsidRPr="00DF5BF0">
        <w:rPr>
          <w:rFonts w:ascii="Georgia" w:hAnsi="Georgia" w:cs="Segoe UI"/>
          <w:spacing w:val="2"/>
          <w:sz w:val="22"/>
          <w:szCs w:val="22"/>
        </w:rPr>
        <w:t>repristinado</w:t>
      </w:r>
      <w:proofErr w:type="spellEnd"/>
      <w:r w:rsidRPr="00DF5BF0">
        <w:rPr>
          <w:rFonts w:ascii="Georgia" w:hAnsi="Georgia" w:cs="Segoe UI"/>
          <w:spacing w:val="2"/>
          <w:sz w:val="22"/>
          <w:szCs w:val="22"/>
        </w:rPr>
        <w:t xml:space="preserve"> a pena originária do preceito secundário (1 a 3anos).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Para exemplificar, aquele que hoje importa um anabolizante sem registro na ANVISA e pratica o crime do art. 273 § 1, I, a pena varia de 1 a 3 anos e não mais de 10 a 15 anos.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Aos processos que tramitam a defesa deve ficar atenta e invocar esse novo entendimento do STF, por ser mais favorável. Veja que uma pena de 10 a 15 anos previsto no art. </w:t>
      </w:r>
      <w:hyperlink r:id="rId34" w:tooltip="Artigo 273 do Decreto Lei nº 2.848 de 07 de Dezembro de 1940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273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do </w:t>
      </w:r>
      <w:hyperlink r:id="rId35" w:tooltip="Decreto-lei no 2.848, de 7 de dezembro de 1940." w:history="1">
        <w:r w:rsidRPr="00DF5BF0">
          <w:rPr>
            <w:rStyle w:val="Hyperlink"/>
            <w:rFonts w:ascii="Georgia" w:hAnsi="Georgia" w:cs="Segoe UI"/>
            <w:color w:val="auto"/>
            <w:spacing w:val="2"/>
            <w:sz w:val="22"/>
            <w:szCs w:val="22"/>
          </w:rPr>
          <w:t>CP</w:t>
        </w:r>
      </w:hyperlink>
      <w:r w:rsidRPr="00DF5BF0">
        <w:rPr>
          <w:rFonts w:ascii="Georgia" w:hAnsi="Georgia" w:cs="Segoe UI"/>
          <w:spacing w:val="2"/>
          <w:sz w:val="22"/>
          <w:szCs w:val="22"/>
        </w:rPr>
        <w:t> é reduzida para 1 ano e 3 meses, permitindo a suspensão condicional do processo ou até mesmo a substituição pela pena restritiva de direito.</w:t>
      </w:r>
    </w:p>
    <w:p w:rsidR="001B7A85" w:rsidRPr="00DF5BF0" w:rsidRDefault="001B7A85" w:rsidP="001B7A85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Georgia" w:hAnsi="Georgia" w:cs="Segoe UI"/>
          <w:spacing w:val="2"/>
          <w:sz w:val="22"/>
          <w:szCs w:val="22"/>
        </w:rPr>
      </w:pPr>
      <w:r w:rsidRPr="00DF5BF0">
        <w:rPr>
          <w:rFonts w:ascii="Georgia" w:hAnsi="Georgia" w:cs="Segoe UI"/>
          <w:spacing w:val="2"/>
          <w:sz w:val="22"/>
          <w:szCs w:val="22"/>
        </w:rPr>
        <w:t>CARLOS EDUARDO DA CRUZ E SILVA</w:t>
      </w:r>
    </w:p>
    <w:p w:rsidR="001B7A85" w:rsidRPr="00DF5BF0" w:rsidRDefault="001B7A85" w:rsidP="00A55065">
      <w:pPr>
        <w:jc w:val="both"/>
      </w:pPr>
    </w:p>
    <w:sectPr w:rsidR="001B7A85" w:rsidRPr="00DF5BF0" w:rsidSect="00E42BB2">
      <w:pgSz w:w="11906" w:h="16838"/>
      <w:pgMar w:top="1418" w:right="1701" w:bottom="1418" w:left="1701" w:header="709" w:footer="709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1021"/>
    <w:multiLevelType w:val="multilevel"/>
    <w:tmpl w:val="E90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F016A"/>
    <w:multiLevelType w:val="multilevel"/>
    <w:tmpl w:val="CC9C0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E21CD"/>
    <w:multiLevelType w:val="multilevel"/>
    <w:tmpl w:val="FD30C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23CE7"/>
    <w:multiLevelType w:val="multilevel"/>
    <w:tmpl w:val="54A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8D"/>
    <w:rsid w:val="0004337F"/>
    <w:rsid w:val="00110D2A"/>
    <w:rsid w:val="001B7A85"/>
    <w:rsid w:val="002279F6"/>
    <w:rsid w:val="002C4650"/>
    <w:rsid w:val="003F5AEE"/>
    <w:rsid w:val="004056B1"/>
    <w:rsid w:val="004F43EC"/>
    <w:rsid w:val="00526564"/>
    <w:rsid w:val="005D2A50"/>
    <w:rsid w:val="006A168D"/>
    <w:rsid w:val="006A519C"/>
    <w:rsid w:val="006C1D2E"/>
    <w:rsid w:val="00861FD3"/>
    <w:rsid w:val="00A508FA"/>
    <w:rsid w:val="00A55065"/>
    <w:rsid w:val="00AC016A"/>
    <w:rsid w:val="00CB70D0"/>
    <w:rsid w:val="00DC637C"/>
    <w:rsid w:val="00DF5BF0"/>
    <w:rsid w:val="00E42BB2"/>
    <w:rsid w:val="00E43700"/>
    <w:rsid w:val="00ED399C"/>
    <w:rsid w:val="00ED6D81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6EAE8B-6F04-4AF4-B7D0-E25F90E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F6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6A5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A5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1D2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A51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5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ontent-publication-datafrom">
    <w:name w:val="content-publication-data__from"/>
    <w:basedOn w:val="Normal"/>
    <w:rsid w:val="006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6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6A519C"/>
  </w:style>
  <w:style w:type="paragraph" w:customStyle="1" w:styleId="content-textcontainer">
    <w:name w:val="content-text__container"/>
    <w:basedOn w:val="Normal"/>
    <w:rsid w:val="006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mediadescription">
    <w:name w:val="content-media__description"/>
    <w:basedOn w:val="Normal"/>
    <w:rsid w:val="006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519C"/>
    <w:rPr>
      <w:b/>
      <w:bCs/>
    </w:rPr>
  </w:style>
  <w:style w:type="character" w:styleId="nfase">
    <w:name w:val="Emphasis"/>
    <w:basedOn w:val="Fontepargpadro"/>
    <w:uiPriority w:val="20"/>
    <w:qFormat/>
    <w:rsid w:val="006A519C"/>
    <w:rPr>
      <w:i/>
      <w:iCs/>
    </w:rPr>
  </w:style>
  <w:style w:type="character" w:customStyle="1" w:styleId="toolbarnetwork-actions">
    <w:name w:val="toolbarnetwork-actions"/>
    <w:basedOn w:val="Fontepargpadro"/>
    <w:rsid w:val="001B7A85"/>
  </w:style>
  <w:style w:type="character" w:customStyle="1" w:styleId="publicationinfo-item-date">
    <w:name w:val="publicationinfo-item-date"/>
    <w:basedOn w:val="Fontepargpadro"/>
    <w:rsid w:val="001B7A85"/>
  </w:style>
  <w:style w:type="paragraph" w:styleId="NormalWeb">
    <w:name w:val="Normal (Web)"/>
    <w:basedOn w:val="Normal"/>
    <w:uiPriority w:val="99"/>
    <w:semiHidden/>
    <w:unhideWhenUsed/>
    <w:rsid w:val="001B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879441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062524">
          <w:marLeft w:val="0"/>
          <w:marRight w:val="240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88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0547">
                      <w:marLeft w:val="969"/>
                      <w:marRight w:val="58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4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25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6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6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9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.globo.com/eu-atleta/saude/noticia/disfuncao-sexual-dependencia-emocional-e-lesoes-anabolizantes-e-seus-efeitos.ghtml" TargetMode="External"/><Relationship Id="rId13" Type="http://schemas.openxmlformats.org/officeDocument/2006/relationships/hyperlink" Target="https://ge.globo.com/olimpiadas/noticia/rebeca-gusmao-cesar-cielo-giba-relembre-casos-de-doping-anteriores-ao-de-rafaela-silva.ghtml" TargetMode="External"/><Relationship Id="rId18" Type="http://schemas.openxmlformats.org/officeDocument/2006/relationships/hyperlink" Target="https://www.jusbrasil.com.br/legislacao/1033702/c%C3%B3digo-penal-decreto-lei-2848-40" TargetMode="External"/><Relationship Id="rId26" Type="http://schemas.openxmlformats.org/officeDocument/2006/relationships/hyperlink" Target="https://www.jusbrasil.com.br/topicos/10604343/artigo-273-do-decreto-lei-n-2848-de-07-de-dezembro-de-19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topicos/10625629/artigo-121-do-decreto-lei-n-2848-de-07-de-dezembro-de-1940" TargetMode="External"/><Relationship Id="rId34" Type="http://schemas.openxmlformats.org/officeDocument/2006/relationships/hyperlink" Target="https://www.jusbrasil.com.br/topicos/10604343/artigo-273-do-decreto-lei-n-2848-de-07-de-dezembro-de-1940" TargetMode="External"/><Relationship Id="rId7" Type="http://schemas.openxmlformats.org/officeDocument/2006/relationships/hyperlink" Target="https://g1.globo.com/saude/noticia/2023/04/11/cfm-proibe-prescricao-de-anabolizantes-com-finalidade-estetica-ganho-de-massa-muscular-e-melhora-do-desempenho-esportivo.ghtml" TargetMode="External"/><Relationship Id="rId12" Type="http://schemas.openxmlformats.org/officeDocument/2006/relationships/hyperlink" Target="https://ge.globo.com/eu-atleta/saude/noticia/osteoporose-causas-sintomas-diagnostico-prevencao-e-tratamento.ghtml" TargetMode="External"/><Relationship Id="rId17" Type="http://schemas.openxmlformats.org/officeDocument/2006/relationships/hyperlink" Target="https://www.jusbrasil.com.br/topicos/10604224/par%C3%A1grafo-1-artigo-273-do-decreto-lei-n-2848-de-07-de-dezembro-de-1940" TargetMode="External"/><Relationship Id="rId25" Type="http://schemas.openxmlformats.org/officeDocument/2006/relationships/hyperlink" Target="https://stj.jusbrasil.com.br/jurisprudencia/635421840/recurso-especial-resp-1755862-rj-2018-0183710-0" TargetMode="External"/><Relationship Id="rId33" Type="http://schemas.openxmlformats.org/officeDocument/2006/relationships/hyperlink" Target="https://www.jusbrasil.com.br/legislacao/103301/lei-de-crimes-contra-a-sa%C3%BAde-p%C3%BAblica-lei-9677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10604343/artigo-273-do-decreto-lei-n-2848-de-07-de-dezembro-de-1940" TargetMode="External"/><Relationship Id="rId20" Type="http://schemas.openxmlformats.org/officeDocument/2006/relationships/hyperlink" Target="https://www.jusbrasil.com.br/legislacao/95503/lei-de-t%C3%B3xicos-lei-11343-06" TargetMode="External"/><Relationship Id="rId29" Type="http://schemas.openxmlformats.org/officeDocument/2006/relationships/hyperlink" Target="https://www.jusbrasil.com.br/legislacao/95503/lei-de-t%C3%B3xicos-lei-11343-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quimica/esteroides-anabolizantes-forca-beleza-enganosas.htm" TargetMode="External"/><Relationship Id="rId11" Type="http://schemas.openxmlformats.org/officeDocument/2006/relationships/hyperlink" Target="https://ge.globo.com/eu-atleta/saude/noticia/andropausa-causas-sintomas-e-como-evitar-consequencias.ghtml" TargetMode="External"/><Relationship Id="rId24" Type="http://schemas.openxmlformats.org/officeDocument/2006/relationships/hyperlink" Target="https://www.jusbrasil.com.br/legislacao/1033702/c%C3%B3digo-penal-decreto-lei-2848-40" TargetMode="External"/><Relationship Id="rId32" Type="http://schemas.openxmlformats.org/officeDocument/2006/relationships/hyperlink" Target="https://www.jusbrasil.com.br/legislacao/1033702/c%C3%B3digo-penal-decreto-lei-2848-4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rasilescola.uol.com.br/biologia/anabolizantes.htm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www.jusbrasil.com.br/topicos/10604343/artigo-273-do-decreto-lei-n-2848-de-07-de-dezembro-de-1940" TargetMode="External"/><Relationship Id="rId28" Type="http://schemas.openxmlformats.org/officeDocument/2006/relationships/hyperlink" Target="https://www.jusbrasil.com.br/topicos/10867208/artigo-33-da-lei-n-11343-de-23-de-agosto-de-200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jusbrasil.com.br/topicos/10867208/artigo-33-da-lei-n-11343-de-23-de-agosto-de-2006" TargetMode="External"/><Relationship Id="rId31" Type="http://schemas.openxmlformats.org/officeDocument/2006/relationships/hyperlink" Target="https://www.jusbrasil.com.br/topicos/10604343/artigo-273-do-decreto-lei-n-2848-de-07-de-dezembro-de-19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carloseduardocriminalista.jusbrasil.com.br/" TargetMode="External"/><Relationship Id="rId22" Type="http://schemas.openxmlformats.org/officeDocument/2006/relationships/hyperlink" Target="https://www.jusbrasil.com.br/legislacao/1033702/c%C3%B3digo-penal-decreto-lei-2848-40" TargetMode="External"/><Relationship Id="rId27" Type="http://schemas.openxmlformats.org/officeDocument/2006/relationships/hyperlink" Target="https://www.jusbrasil.com.br/legislacao/1033702/c%C3%B3digo-penal-decreto-lei-2848-40" TargetMode="External"/><Relationship Id="rId30" Type="http://schemas.openxmlformats.org/officeDocument/2006/relationships/hyperlink" Target="https://stf.jusbrasil.com.br/jurisprudencia/631604013/recurso-extraordinario-re-979962-rs-rio-grande-do-sul" TargetMode="External"/><Relationship Id="rId35" Type="http://schemas.openxmlformats.org/officeDocument/2006/relationships/hyperlink" Target="https://www.jusbrasil.com.br/legislacao/1033702/c%C3%B3digo-penal-decreto-lei-2848-4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Masae Shirota</dc:creator>
  <cp:keywords/>
  <dc:description/>
  <cp:lastModifiedBy>Larissa Diniz Paraguassu</cp:lastModifiedBy>
  <cp:revision>3</cp:revision>
  <dcterms:created xsi:type="dcterms:W3CDTF">2023-08-29T13:17:00Z</dcterms:created>
  <dcterms:modified xsi:type="dcterms:W3CDTF">2024-01-30T15:18:00Z</dcterms:modified>
</cp:coreProperties>
</file>